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81" w:rsidRDefault="00D91C81">
      <w:pPr>
        <w:pStyle w:val="ConsPlusTitlePage"/>
      </w:pPr>
      <w:bookmarkStart w:id="0" w:name="_GoBack"/>
      <w:bookmarkEnd w:id="0"/>
      <w:r>
        <w:br/>
      </w:r>
    </w:p>
    <w:p w:rsidR="00D91C81" w:rsidRDefault="00D91C81">
      <w:pPr>
        <w:pStyle w:val="ConsPlusNormal"/>
        <w:jc w:val="both"/>
        <w:outlineLvl w:val="0"/>
      </w:pPr>
    </w:p>
    <w:p w:rsidR="00D91C81" w:rsidRDefault="00D91C81">
      <w:pPr>
        <w:pStyle w:val="ConsPlusTitle"/>
        <w:jc w:val="center"/>
        <w:outlineLvl w:val="0"/>
      </w:pPr>
      <w:r>
        <w:t>РЕГИОНАЛЬНАЯ ЭНЕРГЕТИЧЕСКАЯ КОМИССИЯ</w:t>
      </w:r>
    </w:p>
    <w:p w:rsidR="00D91C81" w:rsidRDefault="00D91C81">
      <w:pPr>
        <w:pStyle w:val="ConsPlusTitle"/>
        <w:jc w:val="center"/>
      </w:pPr>
      <w:r>
        <w:t>НОВОСИБИРСКОЙ ОБЛАСТИ</w:t>
      </w:r>
    </w:p>
    <w:p w:rsidR="00D91C81" w:rsidRDefault="00D91C81">
      <w:pPr>
        <w:pStyle w:val="ConsPlusTitle"/>
        <w:jc w:val="center"/>
      </w:pPr>
    </w:p>
    <w:p w:rsidR="00D91C81" w:rsidRDefault="00D91C81">
      <w:pPr>
        <w:pStyle w:val="ConsPlusTitle"/>
        <w:jc w:val="center"/>
      </w:pPr>
      <w:r>
        <w:t>РЕШЕНИЕ</w:t>
      </w:r>
    </w:p>
    <w:p w:rsidR="00D91C81" w:rsidRDefault="00D91C81">
      <w:pPr>
        <w:pStyle w:val="ConsPlusTitle"/>
        <w:jc w:val="center"/>
      </w:pPr>
      <w:r>
        <w:t>от 17 декабря 2003 г. N 24</w:t>
      </w:r>
    </w:p>
    <w:p w:rsidR="00D91C81" w:rsidRDefault="00D91C81">
      <w:pPr>
        <w:pStyle w:val="ConsPlusTitle"/>
        <w:jc w:val="center"/>
      </w:pPr>
    </w:p>
    <w:p w:rsidR="00D91C81" w:rsidRDefault="00D91C81">
      <w:pPr>
        <w:pStyle w:val="ConsPlusTitle"/>
        <w:jc w:val="center"/>
      </w:pPr>
      <w:r>
        <w:t>ОБ УСТАНОВЛЕНИИ ТАРИФОВ НА ЭЛЕКТРИЧЕСКУЮ И ТЕПЛОВУЮ</w:t>
      </w:r>
    </w:p>
    <w:p w:rsidR="00D91C81" w:rsidRDefault="00D91C81">
      <w:pPr>
        <w:pStyle w:val="ConsPlusTitle"/>
        <w:jc w:val="center"/>
      </w:pPr>
      <w:r>
        <w:t>ЭНЕРГИЮ, ОТПУСКАЕМУЮ ПОТРЕБИТЕЛЯМ НОВОСИБИРСКОЙ ОБЛАСТИ</w:t>
      </w:r>
    </w:p>
    <w:p w:rsidR="00D91C81" w:rsidRDefault="00D91C81">
      <w:pPr>
        <w:pStyle w:val="ConsPlusTitle"/>
        <w:jc w:val="center"/>
      </w:pPr>
      <w:r>
        <w:t>ОАО "НОВОСИБИРСКЭНЕРГО" И ЭНЕРГОСНАБЖАЮЩИМИ</w:t>
      </w:r>
    </w:p>
    <w:p w:rsidR="00D91C81" w:rsidRDefault="00D91C81">
      <w:pPr>
        <w:pStyle w:val="ConsPlusTitle"/>
        <w:jc w:val="center"/>
      </w:pPr>
      <w:r>
        <w:t>ОРГАНИЗАЦИЯМИ (ПЕРЕПРОДАВЦАМИ), ОСУЩЕСТВЛЯЮЩИМИ</w:t>
      </w:r>
    </w:p>
    <w:p w:rsidR="00D91C81" w:rsidRDefault="00D91C81">
      <w:pPr>
        <w:pStyle w:val="ConsPlusTitle"/>
        <w:jc w:val="center"/>
      </w:pPr>
      <w:r>
        <w:t>ДЕЯТЕЛЬНОСТЬ ПО ЕЕ ПЕРЕДАЧЕ И СБЫТУ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 (с изменениями и дополнениями от 11.02.1999, 10.01.2003, 26.03.2003, 07.07.2003) и другими нормативными правовыми актами, предусматривающими совокупное увеличение расходов на оплату услуг РАО "ЕЭС России" по организации функционирования и развитию Единой энергетической системы России, ОАО "ФСК ЕЭС" по передаче электрической энергии по единой национальной электрической сети, ОАО "СО - ЦДУ ЕЭС" по обеспечению системной надежности, оказываемых субъектам федерального (общероссийского) оптового рынка электрической энергии (мощности), повышение оптовых цен и снабженческо-сбытовых надбавок на газ, ставок земельного налога, увеличение расходов на проведение учреждениями государственного энергетического надзора мероприятий по надзору и контролю, а также в связи с ростом цен на уголь и мазут Региональная энергетическая комиссия Новосибирской области (РЭК) решила: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1 января 2004 года тарифы на электрическую и тепловую энергию, отпускаемую потребителям Новосибирской области ОАО "Новосибирскэнерго" и энергоснабжающими организациями (перепродавцами), осуществляющими деятельность по ее передаче и сбыту, согласно </w:t>
      </w:r>
      <w:hyperlink w:anchor="P26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135" w:history="1">
        <w:r>
          <w:rPr>
            <w:color w:val="0000FF"/>
          </w:rPr>
          <w:t>2.</w:t>
        </w:r>
      </w:hyperlink>
    </w:p>
    <w:p w:rsidR="00D91C81" w:rsidRDefault="00D91C81">
      <w:pPr>
        <w:pStyle w:val="ConsPlusNormal"/>
        <w:spacing w:before="220"/>
        <w:ind w:firstLine="540"/>
        <w:jc w:val="both"/>
      </w:pPr>
      <w:r>
        <w:t xml:space="preserve">2. Предусмотреть в структуре указанных тарифов расходы по отдельным статьям согласно </w:t>
      </w:r>
      <w:hyperlink w:anchor="P167" w:history="1">
        <w:r>
          <w:rPr>
            <w:color w:val="0000FF"/>
          </w:rPr>
          <w:t>приложению 3.</w:t>
        </w:r>
      </w:hyperlink>
    </w:p>
    <w:p w:rsidR="00D91C81" w:rsidRDefault="00D91C81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2004 года </w:t>
      </w:r>
      <w:hyperlink r:id="rId6" w:history="1">
        <w:r>
          <w:rPr>
            <w:color w:val="0000FF"/>
          </w:rPr>
          <w:t>Решение</w:t>
        </w:r>
      </w:hyperlink>
      <w:r>
        <w:t xml:space="preserve"> РЭК от 28 марта 2003 года N 3.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>4. Опубликовать настоящее Решение в газете "Советская Сибирь".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</w:pPr>
      <w:r>
        <w:t>Председатель РЭК</w:t>
      </w:r>
    </w:p>
    <w:p w:rsidR="00D91C81" w:rsidRDefault="00D91C81">
      <w:pPr>
        <w:pStyle w:val="ConsPlusNormal"/>
        <w:jc w:val="right"/>
      </w:pPr>
      <w:r>
        <w:t>А.И.ЯНСОН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  <w:outlineLvl w:val="0"/>
      </w:pPr>
      <w:bookmarkStart w:id="1" w:name="P26"/>
      <w:bookmarkEnd w:id="1"/>
      <w:r>
        <w:t>Приложение 1</w:t>
      </w:r>
    </w:p>
    <w:p w:rsidR="00D91C81" w:rsidRDefault="00D91C81">
      <w:pPr>
        <w:pStyle w:val="ConsPlusNormal"/>
        <w:jc w:val="right"/>
      </w:pPr>
      <w:r>
        <w:t>Утверждено</w:t>
      </w:r>
    </w:p>
    <w:p w:rsidR="00D91C81" w:rsidRDefault="00D91C81">
      <w:pPr>
        <w:pStyle w:val="ConsPlusNormal"/>
        <w:jc w:val="right"/>
      </w:pPr>
      <w:r>
        <w:t>Решением РЭК</w:t>
      </w:r>
    </w:p>
    <w:p w:rsidR="00D91C81" w:rsidRDefault="00D91C81">
      <w:pPr>
        <w:pStyle w:val="ConsPlusNormal"/>
        <w:jc w:val="right"/>
      </w:pPr>
      <w:r>
        <w:t>от 17.12.2003 N 24</w:t>
      </w:r>
    </w:p>
    <w:p w:rsidR="00D91C81" w:rsidRDefault="00D91C81">
      <w:pPr>
        <w:pStyle w:val="ConsPlusNormal"/>
      </w:pPr>
    </w:p>
    <w:p w:rsidR="00D91C81" w:rsidRDefault="00D91C81">
      <w:pPr>
        <w:pStyle w:val="ConsPlusTitle"/>
        <w:jc w:val="center"/>
      </w:pPr>
      <w:r>
        <w:t>ТАРИФЫ НА ЭЛЕКТРИЧЕСКУЮ ЭНЕРГИЮ</w:t>
      </w:r>
    </w:p>
    <w:p w:rsidR="00D91C81" w:rsidRDefault="00D91C8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1056"/>
        <w:gridCol w:w="864"/>
        <w:gridCol w:w="864"/>
        <w:gridCol w:w="864"/>
        <w:gridCol w:w="864"/>
        <w:gridCol w:w="864"/>
        <w:gridCol w:w="768"/>
        <w:gridCol w:w="864"/>
        <w:gridCol w:w="864"/>
      </w:tblGrid>
      <w:tr w:rsidR="00D91C81">
        <w:trPr>
          <w:trHeight w:val="160"/>
        </w:trPr>
        <w:tc>
          <w:tcPr>
            <w:tcW w:w="2112" w:type="dxa"/>
            <w:vMerge w:val="restart"/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lastRenderedPageBreak/>
              <w:t xml:space="preserve">  Тарифные группы 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потребителей,  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>наименование тарифов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(тарифных ставок)  </w:t>
            </w:r>
          </w:p>
        </w:tc>
        <w:tc>
          <w:tcPr>
            <w:tcW w:w="1056" w:type="dxa"/>
            <w:vMerge w:val="restart"/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Ед. изм. </w:t>
            </w:r>
          </w:p>
        </w:tc>
        <w:tc>
          <w:tcPr>
            <w:tcW w:w="864" w:type="dxa"/>
            <w:vMerge w:val="restart"/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Генера-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торное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напря-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жение  </w:t>
            </w:r>
          </w:p>
        </w:tc>
        <w:tc>
          <w:tcPr>
            <w:tcW w:w="3456" w:type="dxa"/>
            <w:gridSpan w:val="4"/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Тарифы по диапазонам напряжения</w:t>
            </w:r>
          </w:p>
        </w:tc>
        <w:tc>
          <w:tcPr>
            <w:tcW w:w="2496" w:type="dxa"/>
            <w:gridSpan w:val="3"/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Тарифы по зонам суток </w:t>
            </w:r>
          </w:p>
        </w:tc>
      </w:tr>
      <w:tr w:rsidR="00D91C81">
        <w:tc>
          <w:tcPr>
            <w:tcW w:w="2016" w:type="dxa"/>
            <w:vMerge/>
            <w:tcBorders>
              <w:top w:val="nil"/>
            </w:tcBorders>
          </w:tcPr>
          <w:p w:rsidR="00D91C81" w:rsidRDefault="00D91C81"/>
        </w:tc>
        <w:tc>
          <w:tcPr>
            <w:tcW w:w="960" w:type="dxa"/>
            <w:vMerge/>
            <w:tcBorders>
              <w:top w:val="nil"/>
            </w:tcBorders>
          </w:tcPr>
          <w:p w:rsidR="00D91C81" w:rsidRDefault="00D91C81"/>
        </w:tc>
        <w:tc>
          <w:tcPr>
            <w:tcW w:w="768" w:type="dxa"/>
            <w:vMerge/>
            <w:tcBorders>
              <w:top w:val="nil"/>
            </w:tcBorders>
          </w:tcPr>
          <w:p w:rsidR="00D91C81" w:rsidRDefault="00D91C81"/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ВН 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>(110 кВ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>и выше)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СН-I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>(35 кВ)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СН-II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(20-1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кВ)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НН (0,4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кВ и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ниже) 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Ночная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зона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Полупи-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ковая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зона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Пиковая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зона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  <w:outlineLvl w:val="1"/>
            </w:pPr>
            <w:r>
              <w:rPr>
                <w:sz w:val="16"/>
              </w:rPr>
              <w:t xml:space="preserve">1. Бюджетные потребители (без учета НДС):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770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800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870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930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770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900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1130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двухставочный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мощность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в месяц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244200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265600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274800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284600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энергию 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269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290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306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346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  <w:outlineLvl w:val="1"/>
            </w:pPr>
            <w:r>
              <w:rPr>
                <w:sz w:val="16"/>
              </w:rPr>
              <w:t xml:space="preserve">2. Население (с учетом НДС):            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2.1. Население, проживающее в городских населенных пунктах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коп./кВтч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88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77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88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112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2.2. Население, проживающее в сельских населенных пунктах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коп./кВтч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61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52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61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80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2.3. Городские населенные пункты и потребители (некоммерческие объединения граждан и жилищные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организации), производящие расчеты за потребляемую электрическую энергию по общему счетчику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на вводе                                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коп./кВтч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77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67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77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100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2.4. Сельские населенные пункты и потребители (некоммерческие объединения граждан и жилищные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организации), производящие расчеты за потребляемую электрическую энергию по общему счетчику 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на вводе                                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коп./кВтч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54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45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54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 75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  <w:outlineLvl w:val="1"/>
            </w:pPr>
            <w:r>
              <w:rPr>
                <w:sz w:val="16"/>
              </w:rPr>
              <w:t xml:space="preserve">3. Прочие потребители (без учета НДС):  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3.1. Прочие потребители, кроме электрифицированного железнодорожного транспорта (электротяги)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и производственных сельхозпотребителей  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690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1010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1030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1060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1100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867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1010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1370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двухставочный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мощность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в месяц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130000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244200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265600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274800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284600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энергию 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442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468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520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580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640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3.2. Электрифицированный железнодорожный транспорт (электротяга)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620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900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двухставочный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мощность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в месяц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244200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энергию 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282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9984" w:type="dxa"/>
            <w:gridSpan w:val="10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3.3. Производственные сельхозпотребители                                               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одноставочный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720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740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760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880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720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860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1150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двухставочный тариф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мощность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руб./МВт </w:t>
            </w:r>
          </w:p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в месяц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244200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265600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274800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284600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  <w:tr w:rsidR="00D91C81">
        <w:trPr>
          <w:trHeight w:val="160"/>
        </w:trPr>
        <w:tc>
          <w:tcPr>
            <w:tcW w:w="2112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Плата за энергию    </w:t>
            </w:r>
          </w:p>
        </w:tc>
        <w:tc>
          <w:tcPr>
            <w:tcW w:w="10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>руб./МВтч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206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228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272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    315</w:t>
            </w:r>
          </w:p>
        </w:tc>
        <w:tc>
          <w:tcPr>
            <w:tcW w:w="768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  <w:tc>
          <w:tcPr>
            <w:tcW w:w="864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6"/>
              </w:rPr>
              <w:t xml:space="preserve">x      </w:t>
            </w:r>
          </w:p>
        </w:tc>
      </w:tr>
    </w:tbl>
    <w:p w:rsidR="00D91C81" w:rsidRDefault="00D91C81">
      <w:pPr>
        <w:pStyle w:val="ConsPlusNormal"/>
      </w:pPr>
    </w:p>
    <w:p w:rsidR="00D91C81" w:rsidRDefault="00D91C81">
      <w:pPr>
        <w:pStyle w:val="ConsPlusNormal"/>
        <w:ind w:firstLine="540"/>
        <w:jc w:val="both"/>
      </w:pPr>
      <w:r>
        <w:t>Примечания. 1. Дифференцированные по зонам суток тарифы на электрическую энергию применяются только при наличии у потребителя соответствующих средств коммерческого учета, установленных по согласованию с энергоснабжающей организацией.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lastRenderedPageBreak/>
        <w:t>2. Интервалы тарифных зон суток для всех потребителей устанавливаются в соответствии с приложением N 1 к Постановлению Федеральной энергетической комиссии Российской Федерации от 29.01.2003 N 6-э/7 "Об интервалах тарифных зон суток для потребителей на розничных (потребительских) рынках электрической энергии (мощности) на 2003 год" применительно к ОЭС Сибири и приводятся ниже.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</w:pPr>
      <w:r>
        <w:t>(время местное)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840"/>
        <w:gridCol w:w="756"/>
        <w:gridCol w:w="756"/>
        <w:gridCol w:w="756"/>
      </w:tblGrid>
      <w:tr w:rsidR="00D91C81">
        <w:trPr>
          <w:trHeight w:val="160"/>
        </w:trPr>
        <w:tc>
          <w:tcPr>
            <w:tcW w:w="756" w:type="dxa"/>
          </w:tcPr>
          <w:p w:rsidR="00D91C81" w:rsidRDefault="00D91C81">
            <w:pPr>
              <w:pStyle w:val="ConsPlusNonformat"/>
            </w:pP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Январь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Февраль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 Март 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Апрель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  Май 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 Июнь 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 Июль 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Август </w:t>
            </w:r>
          </w:p>
        </w:tc>
        <w:tc>
          <w:tcPr>
            <w:tcW w:w="840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Сентябрь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Октябрь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Ноябрь </w:t>
            </w:r>
          </w:p>
        </w:tc>
        <w:tc>
          <w:tcPr>
            <w:tcW w:w="756" w:type="dxa"/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Декабрь</w:t>
            </w:r>
          </w:p>
        </w:tc>
      </w:tr>
      <w:tr w:rsidR="00D91C81">
        <w:trPr>
          <w:trHeight w:val="160"/>
        </w:trPr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Ночная </w:t>
            </w:r>
          </w:p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зона   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84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23 - 07 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23 - 07</w:t>
            </w:r>
          </w:p>
        </w:tc>
      </w:tr>
      <w:tr w:rsidR="00D91C81">
        <w:trPr>
          <w:trHeight w:val="160"/>
        </w:trPr>
        <w:tc>
          <w:tcPr>
            <w:tcW w:w="756" w:type="dxa"/>
            <w:vMerge w:val="restart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Пиковая</w:t>
            </w:r>
          </w:p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зона   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07 - 10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07 - 10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08 - 12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09 - 13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09 - 13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09 - 12</w:t>
            </w:r>
          </w:p>
        </w:tc>
        <w:tc>
          <w:tcPr>
            <w:tcW w:w="84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08 - 11 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08 - 10</w:t>
            </w:r>
          </w:p>
        </w:tc>
      </w:tr>
      <w:tr w:rsidR="00D91C81">
        <w:tc>
          <w:tcPr>
            <w:tcW w:w="672" w:type="dxa"/>
            <w:vMerge/>
            <w:tcBorders>
              <w:top w:val="nil"/>
            </w:tcBorders>
          </w:tcPr>
          <w:p w:rsidR="00D91C81" w:rsidRDefault="00D91C81"/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17 - 20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17 - 20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18 - 21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20 - 21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20 - 21</w:t>
            </w:r>
          </w:p>
        </w:tc>
        <w:tc>
          <w:tcPr>
            <w:tcW w:w="84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 xml:space="preserve">20 - 21 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18 - 21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16 - 20</w:t>
            </w:r>
          </w:p>
        </w:tc>
        <w:tc>
          <w:tcPr>
            <w:tcW w:w="756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rPr>
                <w:sz w:val="14"/>
              </w:rPr>
              <w:t>16 - 20</w:t>
            </w:r>
          </w:p>
        </w:tc>
      </w:tr>
    </w:tbl>
    <w:p w:rsidR="00D91C81" w:rsidRDefault="00D91C81">
      <w:pPr>
        <w:pStyle w:val="ConsPlusNormal"/>
      </w:pPr>
    </w:p>
    <w:p w:rsidR="00D91C81" w:rsidRDefault="00D91C81">
      <w:pPr>
        <w:pStyle w:val="ConsPlusNormal"/>
        <w:ind w:firstLine="540"/>
        <w:jc w:val="both"/>
      </w:pPr>
      <w:r>
        <w:t>Полупиковая зона - остальное время.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>В воскресные и праздничные дни пиковая зона равна полупиковой, полупиковая - ночной.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>Пиковая зона субботних дней оплачивается по пиковой тарифной ставке рабочего дня, уменьшенной с учетом коэффициента К = 0,7, но не ниже полупиковой тарифной ставки рабочего дня.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>3. Религиозные организации, содержащиеся за счет средств прихожан, производят оплату за потребленную электрическую энергию по соответствующим тарифам, установленным для населения.</w:t>
      </w:r>
    </w:p>
    <w:p w:rsidR="00D91C81" w:rsidRDefault="00D91C81">
      <w:pPr>
        <w:pStyle w:val="ConsPlusNormal"/>
        <w:spacing w:before="220"/>
        <w:ind w:firstLine="540"/>
        <w:jc w:val="both"/>
      </w:pPr>
      <w:r>
        <w:t>4. По настоящим тарифам на электрическую энергию, дифференцированным по тарифным группам потребителей и диапазонам напряжений, может производиться оплата электрической энергии конечными потребителями (субабонентами), подключенными к сетям организаций, осуществляющих поставку указанным потребителям электрической энергии, приобретенной у ОАО "Новосибирскэнерго", за исключением тех организаций, для которых приняты соответствующие решения РЭК об уровне тарифов на услуги по передаче электрической энергии, оказываемые ими конечным потребителям.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  <w:outlineLvl w:val="0"/>
      </w:pPr>
      <w:bookmarkStart w:id="2" w:name="P135"/>
      <w:bookmarkEnd w:id="2"/>
      <w:r>
        <w:t>Приложение 2</w:t>
      </w:r>
    </w:p>
    <w:p w:rsidR="00D91C81" w:rsidRDefault="00D91C81">
      <w:pPr>
        <w:pStyle w:val="ConsPlusNormal"/>
        <w:jc w:val="right"/>
      </w:pPr>
      <w:r>
        <w:t>Утверждено</w:t>
      </w:r>
    </w:p>
    <w:p w:rsidR="00D91C81" w:rsidRDefault="00D91C81">
      <w:pPr>
        <w:pStyle w:val="ConsPlusNormal"/>
        <w:jc w:val="right"/>
      </w:pPr>
      <w:r>
        <w:t>Решением РЭК</w:t>
      </w:r>
    </w:p>
    <w:p w:rsidR="00D91C81" w:rsidRDefault="00D91C81">
      <w:pPr>
        <w:pStyle w:val="ConsPlusNormal"/>
        <w:jc w:val="right"/>
      </w:pPr>
      <w:r>
        <w:t>от 17.12.2003 N 24</w:t>
      </w:r>
    </w:p>
    <w:p w:rsidR="00D91C81" w:rsidRDefault="00D91C81">
      <w:pPr>
        <w:pStyle w:val="ConsPlusNormal"/>
      </w:pPr>
    </w:p>
    <w:p w:rsidR="00D91C81" w:rsidRDefault="00D91C81">
      <w:pPr>
        <w:pStyle w:val="ConsPlusTitle"/>
        <w:jc w:val="center"/>
      </w:pPr>
      <w:r>
        <w:t>ТАРИФЫ НА ТЕПЛОВУЮ ЭНЕРГИЮ</w:t>
      </w:r>
    </w:p>
    <w:p w:rsidR="00D91C81" w:rsidRDefault="00D91C81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320"/>
        <w:gridCol w:w="2880"/>
      </w:tblGrid>
      <w:tr w:rsidR="00D91C81">
        <w:trPr>
          <w:trHeight w:val="240"/>
        </w:trPr>
        <w:tc>
          <w:tcPr>
            <w:tcW w:w="3960" w:type="dxa"/>
          </w:tcPr>
          <w:p w:rsidR="00D91C81" w:rsidRDefault="00D91C81">
            <w:pPr>
              <w:pStyle w:val="ConsPlusNonformat"/>
            </w:pPr>
            <w:r>
              <w:t xml:space="preserve"> Тарифные группы потребителей  </w:t>
            </w:r>
          </w:p>
        </w:tc>
        <w:tc>
          <w:tcPr>
            <w:tcW w:w="1320" w:type="dxa"/>
          </w:tcPr>
          <w:p w:rsidR="00D91C81" w:rsidRDefault="00D91C81">
            <w:pPr>
              <w:pStyle w:val="ConsPlusNonformat"/>
            </w:pPr>
            <w:r>
              <w:t xml:space="preserve">Ед. изм. </w:t>
            </w:r>
          </w:p>
        </w:tc>
        <w:tc>
          <w:tcPr>
            <w:tcW w:w="2880" w:type="dxa"/>
          </w:tcPr>
          <w:p w:rsidR="00D91C81" w:rsidRDefault="00D91C81">
            <w:pPr>
              <w:pStyle w:val="ConsPlusNonformat"/>
            </w:pPr>
            <w:r>
              <w:t>Тарифы (без учета НДС)</w:t>
            </w:r>
          </w:p>
        </w:tc>
      </w:tr>
      <w:tr w:rsidR="00D91C81">
        <w:trPr>
          <w:trHeight w:val="240"/>
        </w:trPr>
        <w:tc>
          <w:tcPr>
            <w:tcW w:w="8160" w:type="dxa"/>
            <w:gridSpan w:val="3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1. Бюджетные потребители:                                       </w:t>
            </w:r>
          </w:p>
        </w:tc>
      </w:tr>
      <w:tr w:rsidR="00D91C8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горячая вода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руб./Гкал</w:t>
            </w:r>
          </w:p>
        </w:tc>
        <w:tc>
          <w:tcPr>
            <w:tcW w:w="28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381,59                </w:t>
            </w:r>
          </w:p>
        </w:tc>
      </w:tr>
      <w:tr w:rsidR="00D91C81">
        <w:trPr>
          <w:trHeight w:val="240"/>
        </w:trPr>
        <w:tc>
          <w:tcPr>
            <w:tcW w:w="8160" w:type="dxa"/>
            <w:gridSpan w:val="3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2. Прочие потребители:                                          </w:t>
            </w:r>
          </w:p>
        </w:tc>
      </w:tr>
      <w:tr w:rsidR="00D91C8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горячая вода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руб./Гкал</w:t>
            </w:r>
          </w:p>
        </w:tc>
        <w:tc>
          <w:tcPr>
            <w:tcW w:w="28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383,04                </w:t>
            </w:r>
          </w:p>
        </w:tc>
      </w:tr>
      <w:tr w:rsidR="00D91C8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отборный пар 2,5 - 7,0 кгс/см2 </w:t>
            </w:r>
          </w:p>
        </w:tc>
        <w:tc>
          <w:tcPr>
            <w:tcW w:w="132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руб./Гкал</w:t>
            </w:r>
          </w:p>
        </w:tc>
        <w:tc>
          <w:tcPr>
            <w:tcW w:w="28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384,09                </w:t>
            </w:r>
          </w:p>
        </w:tc>
      </w:tr>
      <w:tr w:rsidR="00D91C8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lastRenderedPageBreak/>
              <w:t>отборный пар 7,0 - 13,0 кгс/см2</w:t>
            </w:r>
          </w:p>
        </w:tc>
        <w:tc>
          <w:tcPr>
            <w:tcW w:w="132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руб./Гкал</w:t>
            </w:r>
          </w:p>
        </w:tc>
        <w:tc>
          <w:tcPr>
            <w:tcW w:w="28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386,20                </w:t>
            </w:r>
          </w:p>
        </w:tc>
      </w:tr>
      <w:tr w:rsidR="00D91C81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острый и редуцированный пар    </w:t>
            </w:r>
          </w:p>
        </w:tc>
        <w:tc>
          <w:tcPr>
            <w:tcW w:w="132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руб./Гкал</w:t>
            </w:r>
          </w:p>
        </w:tc>
        <w:tc>
          <w:tcPr>
            <w:tcW w:w="28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386,99                </w:t>
            </w:r>
          </w:p>
        </w:tc>
      </w:tr>
    </w:tbl>
    <w:p w:rsidR="00D91C81" w:rsidRDefault="00D91C81">
      <w:pPr>
        <w:pStyle w:val="ConsPlusNormal"/>
      </w:pPr>
    </w:p>
    <w:p w:rsidR="00D91C81" w:rsidRDefault="00D91C81">
      <w:pPr>
        <w:pStyle w:val="ConsPlusNormal"/>
        <w:ind w:firstLine="540"/>
        <w:jc w:val="both"/>
      </w:pPr>
      <w:r>
        <w:t>Примечание. Гаражно-строительные кооперативы и мастерские творческих работников производят оплату тепловой энергии по тарифам, установленным по группе "Прочие потребители", при этом соответствующее значение тарифа включает НДС.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  <w:outlineLvl w:val="0"/>
      </w:pPr>
      <w:bookmarkStart w:id="3" w:name="P167"/>
      <w:bookmarkEnd w:id="3"/>
      <w:r>
        <w:t>Приложение 3</w:t>
      </w:r>
    </w:p>
    <w:p w:rsidR="00D91C81" w:rsidRDefault="00D91C81">
      <w:pPr>
        <w:pStyle w:val="ConsPlusNormal"/>
        <w:jc w:val="right"/>
      </w:pPr>
      <w:r>
        <w:t>Утверждено</w:t>
      </w:r>
    </w:p>
    <w:p w:rsidR="00D91C81" w:rsidRDefault="00D91C81">
      <w:pPr>
        <w:pStyle w:val="ConsPlusNormal"/>
        <w:jc w:val="right"/>
      </w:pPr>
      <w:r>
        <w:t>Решением РЭК</w:t>
      </w:r>
    </w:p>
    <w:p w:rsidR="00D91C81" w:rsidRDefault="00D91C81">
      <w:pPr>
        <w:pStyle w:val="ConsPlusNormal"/>
        <w:jc w:val="right"/>
      </w:pPr>
      <w:r>
        <w:t>от 17.12.2003 N 24</w:t>
      </w:r>
    </w:p>
    <w:p w:rsidR="00D91C81" w:rsidRDefault="00D91C81">
      <w:pPr>
        <w:pStyle w:val="ConsPlusNormal"/>
      </w:pPr>
    </w:p>
    <w:p w:rsidR="00D91C81" w:rsidRDefault="00D91C81">
      <w:pPr>
        <w:pStyle w:val="ConsPlusTitle"/>
        <w:jc w:val="center"/>
      </w:pPr>
      <w:r>
        <w:t>РАСХОДЫ ПО ОТДЕЛЬНЫМ СТАТЬЯМ, ПРЕДУСМОТРЕННЫМ</w:t>
      </w:r>
    </w:p>
    <w:p w:rsidR="00D91C81" w:rsidRDefault="00D91C81">
      <w:pPr>
        <w:pStyle w:val="ConsPlusTitle"/>
        <w:jc w:val="center"/>
      </w:pPr>
      <w:r>
        <w:t>В СТРУКТУРЕ ТАРИФОВ НА ЭЛЕКТРИЧЕСКУЮ И ТЕПЛОВУЮ ЭНЕРГИЮ</w:t>
      </w:r>
    </w:p>
    <w:p w:rsidR="00D91C81" w:rsidRDefault="00D91C81">
      <w:pPr>
        <w:pStyle w:val="ConsPlusNormal"/>
      </w:pPr>
    </w:p>
    <w:p w:rsidR="00D91C81" w:rsidRDefault="00D91C81">
      <w:pPr>
        <w:pStyle w:val="ConsPlusNormal"/>
        <w:jc w:val="right"/>
      </w:pPr>
      <w:r>
        <w:t>млн. руб.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200"/>
        <w:gridCol w:w="4800"/>
      </w:tblGrid>
      <w:tr w:rsidR="00D91C81">
        <w:trPr>
          <w:trHeight w:val="240"/>
        </w:trPr>
        <w:tc>
          <w:tcPr>
            <w:tcW w:w="2280" w:type="dxa"/>
          </w:tcPr>
          <w:p w:rsidR="00D91C81" w:rsidRDefault="00D91C81">
            <w:pPr>
              <w:pStyle w:val="ConsPlusNonformat"/>
            </w:pPr>
            <w:r>
              <w:t xml:space="preserve">  Наименование   </w:t>
            </w:r>
          </w:p>
          <w:p w:rsidR="00D91C81" w:rsidRDefault="00D91C81">
            <w:pPr>
              <w:pStyle w:val="ConsPlusNonformat"/>
            </w:pPr>
            <w:r>
              <w:t xml:space="preserve">     статьи      </w:t>
            </w:r>
          </w:p>
        </w:tc>
        <w:tc>
          <w:tcPr>
            <w:tcW w:w="1200" w:type="dxa"/>
          </w:tcPr>
          <w:p w:rsidR="00D91C81" w:rsidRDefault="00D91C81">
            <w:pPr>
              <w:pStyle w:val="ConsPlusNonformat"/>
            </w:pPr>
            <w:r>
              <w:t xml:space="preserve">Предло- </w:t>
            </w:r>
          </w:p>
          <w:p w:rsidR="00D91C81" w:rsidRDefault="00D91C81">
            <w:pPr>
              <w:pStyle w:val="ConsPlusNonformat"/>
            </w:pPr>
            <w:r>
              <w:t xml:space="preserve"> жение  </w:t>
            </w:r>
          </w:p>
          <w:p w:rsidR="00D91C81" w:rsidRDefault="00D91C81">
            <w:pPr>
              <w:pStyle w:val="ConsPlusNonformat"/>
            </w:pPr>
            <w:r>
              <w:t xml:space="preserve">  ОАО   </w:t>
            </w:r>
          </w:p>
          <w:p w:rsidR="00D91C81" w:rsidRDefault="00D91C81">
            <w:pPr>
              <w:pStyle w:val="ConsPlusNonformat"/>
            </w:pPr>
            <w:r>
              <w:t>"Новоси-</w:t>
            </w:r>
          </w:p>
          <w:p w:rsidR="00D91C81" w:rsidRDefault="00D91C81">
            <w:pPr>
              <w:pStyle w:val="ConsPlusNonformat"/>
            </w:pPr>
            <w:r>
              <w:t xml:space="preserve"> бирск- </w:t>
            </w:r>
          </w:p>
          <w:p w:rsidR="00D91C81" w:rsidRDefault="00D91C81">
            <w:pPr>
              <w:pStyle w:val="ConsPlusNonformat"/>
            </w:pPr>
            <w:r>
              <w:t xml:space="preserve">энерго" </w:t>
            </w:r>
          </w:p>
        </w:tc>
        <w:tc>
          <w:tcPr>
            <w:tcW w:w="1200" w:type="dxa"/>
          </w:tcPr>
          <w:p w:rsidR="00D91C81" w:rsidRDefault="00D91C81">
            <w:pPr>
              <w:pStyle w:val="ConsPlusNonformat"/>
            </w:pPr>
            <w:r>
              <w:t>Признаны</w:t>
            </w:r>
          </w:p>
          <w:p w:rsidR="00D91C81" w:rsidRDefault="00D91C81">
            <w:pPr>
              <w:pStyle w:val="ConsPlusNonformat"/>
            </w:pPr>
            <w:r>
              <w:t xml:space="preserve">  РЭК   </w:t>
            </w:r>
          </w:p>
          <w:p w:rsidR="00D91C81" w:rsidRDefault="00D91C81">
            <w:pPr>
              <w:pStyle w:val="ConsPlusNonformat"/>
            </w:pPr>
            <w:r>
              <w:t xml:space="preserve">обосно- </w:t>
            </w:r>
          </w:p>
          <w:p w:rsidR="00D91C81" w:rsidRDefault="00D91C81">
            <w:pPr>
              <w:pStyle w:val="ConsPlusNonformat"/>
            </w:pPr>
            <w:r>
              <w:t xml:space="preserve">ванными </w:t>
            </w:r>
          </w:p>
        </w:tc>
        <w:tc>
          <w:tcPr>
            <w:tcW w:w="4800" w:type="dxa"/>
          </w:tcPr>
          <w:p w:rsidR="00D91C81" w:rsidRDefault="00D91C81">
            <w:pPr>
              <w:pStyle w:val="ConsPlusNonformat"/>
            </w:pPr>
            <w:r>
              <w:t xml:space="preserve">              Примечание     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Топливо на       </w:t>
            </w:r>
          </w:p>
          <w:p w:rsidR="00D91C81" w:rsidRDefault="00D91C81">
            <w:pPr>
              <w:pStyle w:val="ConsPlusNonformat"/>
            </w:pPr>
            <w:r>
              <w:t xml:space="preserve">технологические  </w:t>
            </w:r>
          </w:p>
          <w:p w:rsidR="00D91C81" w:rsidRDefault="00D91C81">
            <w:pPr>
              <w:pStyle w:val="ConsPlusNonformat"/>
            </w:pPr>
            <w:r>
              <w:t xml:space="preserve">цели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4039,9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3741,5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затрат на 298,4 млн. руб. за </w:t>
            </w:r>
          </w:p>
          <w:p w:rsidR="00D91C81" w:rsidRDefault="00D91C81">
            <w:pPr>
              <w:pStyle w:val="ConsPlusNonformat"/>
            </w:pPr>
            <w:r>
              <w:t xml:space="preserve">счет уточнения нормативных тепловых   </w:t>
            </w:r>
          </w:p>
          <w:p w:rsidR="00D91C81" w:rsidRDefault="00D91C81">
            <w:pPr>
              <w:pStyle w:val="ConsPlusNonformat"/>
            </w:pPr>
            <w:r>
              <w:t xml:space="preserve">эквивалентов каменного угля, цен на   </w:t>
            </w:r>
          </w:p>
          <w:p w:rsidR="00D91C81" w:rsidRDefault="00D91C81">
            <w:pPr>
              <w:pStyle w:val="ConsPlusNonformat"/>
            </w:pPr>
            <w:r>
              <w:t xml:space="preserve">твердое и жидкое топливо и объема     </w:t>
            </w:r>
          </w:p>
          <w:p w:rsidR="00D91C81" w:rsidRDefault="00D91C81">
            <w:pPr>
              <w:pStyle w:val="ConsPlusNonformat"/>
            </w:pPr>
            <w:r>
              <w:t xml:space="preserve">средств на оплату услуг ППЖТ 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Услуги           </w:t>
            </w:r>
          </w:p>
          <w:p w:rsidR="00D91C81" w:rsidRDefault="00D91C81">
            <w:pPr>
              <w:pStyle w:val="ConsPlusNonformat"/>
            </w:pPr>
            <w:r>
              <w:t>производственного</w:t>
            </w:r>
          </w:p>
          <w:p w:rsidR="00D91C81" w:rsidRDefault="00D91C81">
            <w:pPr>
              <w:pStyle w:val="ConsPlusNonformat"/>
            </w:pPr>
            <w:r>
              <w:t xml:space="preserve">характера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1510,6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1473,5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затрат на 37,1 млн. руб. в   </w:t>
            </w:r>
          </w:p>
          <w:p w:rsidR="00D91C81" w:rsidRDefault="00D91C81">
            <w:pPr>
              <w:pStyle w:val="ConsPlusNonformat"/>
            </w:pPr>
            <w:r>
              <w:t xml:space="preserve">основном за счет исключения расходов  </w:t>
            </w:r>
          </w:p>
          <w:p w:rsidR="00D91C81" w:rsidRDefault="00D91C81">
            <w:pPr>
              <w:pStyle w:val="ConsPlusNonformat"/>
            </w:pPr>
            <w:r>
              <w:t xml:space="preserve">на выполнение ремонтных работ, не     </w:t>
            </w:r>
          </w:p>
          <w:p w:rsidR="00D91C81" w:rsidRDefault="00D91C81">
            <w:pPr>
              <w:pStyle w:val="ConsPlusNonformat"/>
            </w:pPr>
            <w:r>
              <w:t xml:space="preserve">подтвержденных договорами    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Вспомогательные  </w:t>
            </w:r>
          </w:p>
          <w:p w:rsidR="00D91C81" w:rsidRDefault="00D91C81">
            <w:pPr>
              <w:pStyle w:val="ConsPlusNonformat"/>
            </w:pPr>
            <w:r>
              <w:t xml:space="preserve">материалы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 370,3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319,7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затрат на 50,6 млн. руб. в   </w:t>
            </w:r>
          </w:p>
          <w:p w:rsidR="00D91C81" w:rsidRDefault="00D91C81">
            <w:pPr>
              <w:pStyle w:val="ConsPlusNonformat"/>
            </w:pPr>
            <w:r>
              <w:t xml:space="preserve">основном за счет сокращения расходов  </w:t>
            </w:r>
          </w:p>
          <w:p w:rsidR="00D91C81" w:rsidRDefault="00D91C81">
            <w:pPr>
              <w:pStyle w:val="ConsPlusNonformat"/>
            </w:pPr>
            <w:r>
              <w:t xml:space="preserve">на материалы на эксплуатацию в        </w:t>
            </w:r>
          </w:p>
          <w:p w:rsidR="00D91C81" w:rsidRDefault="00D91C81">
            <w:pPr>
              <w:pStyle w:val="ConsPlusNonformat"/>
            </w:pPr>
            <w:r>
              <w:t xml:space="preserve">результате реализации мероприятий по  </w:t>
            </w:r>
          </w:p>
          <w:p w:rsidR="00D91C81" w:rsidRDefault="00D91C81">
            <w:pPr>
              <w:pStyle w:val="ConsPlusNonformat"/>
            </w:pPr>
            <w:r>
              <w:t>реформированию энергосистемы и в связи</w:t>
            </w:r>
          </w:p>
          <w:p w:rsidR="00D91C81" w:rsidRDefault="00D91C81">
            <w:pPr>
              <w:pStyle w:val="ConsPlusNonformat"/>
            </w:pPr>
            <w:r>
              <w:t xml:space="preserve">с этим перераспределения расходов по  </w:t>
            </w:r>
          </w:p>
          <w:p w:rsidR="00D91C81" w:rsidRDefault="00D91C81">
            <w:pPr>
              <w:pStyle w:val="ConsPlusNonformat"/>
            </w:pPr>
            <w:r>
              <w:t xml:space="preserve">статьям затрат               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Фонд оплаты труда</w:t>
            </w:r>
          </w:p>
          <w:p w:rsidR="00D91C81" w:rsidRDefault="00D91C81">
            <w:pPr>
              <w:pStyle w:val="ConsPlusNonformat"/>
            </w:pPr>
            <w:r>
              <w:t xml:space="preserve">ППП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1060,3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920,2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затрат на 140,1 млн. руб. за </w:t>
            </w:r>
          </w:p>
          <w:p w:rsidR="00D91C81" w:rsidRDefault="00D91C81">
            <w:pPr>
              <w:pStyle w:val="ConsPlusNonformat"/>
            </w:pPr>
            <w:r>
              <w:t xml:space="preserve">счет сокращения численности персонала </w:t>
            </w:r>
          </w:p>
          <w:p w:rsidR="00D91C81" w:rsidRDefault="00D91C81">
            <w:pPr>
              <w:pStyle w:val="ConsPlusNonformat"/>
            </w:pPr>
            <w:r>
              <w:t xml:space="preserve">в связи с проведением мероприятий по  </w:t>
            </w:r>
          </w:p>
          <w:p w:rsidR="00D91C81" w:rsidRDefault="00D91C81">
            <w:pPr>
              <w:pStyle w:val="ConsPlusNonformat"/>
            </w:pPr>
            <w:r>
              <w:t xml:space="preserve">реформированию энергосистемы, а также </w:t>
            </w:r>
          </w:p>
          <w:p w:rsidR="00D91C81" w:rsidRDefault="00D91C81">
            <w:pPr>
              <w:pStyle w:val="ConsPlusNonformat"/>
            </w:pPr>
            <w:r>
              <w:t xml:space="preserve">формирования ФОТ ППП в соответствии с </w:t>
            </w:r>
          </w:p>
          <w:p w:rsidR="00D91C81" w:rsidRDefault="00D91C81">
            <w:pPr>
              <w:pStyle w:val="ConsPlusNonformat"/>
            </w:pPr>
            <w:r>
              <w:t xml:space="preserve">требованиями Отраслевого тарифного    </w:t>
            </w:r>
          </w:p>
          <w:p w:rsidR="00D91C81" w:rsidRDefault="00D91C81">
            <w:pPr>
              <w:pStyle w:val="ConsPlusNonformat"/>
            </w:pPr>
            <w:r>
              <w:t xml:space="preserve">соглашения в электроэнергетическом    </w:t>
            </w:r>
          </w:p>
          <w:p w:rsidR="00D91C81" w:rsidRDefault="00D91C81">
            <w:pPr>
              <w:pStyle w:val="ConsPlusNonformat"/>
            </w:pPr>
            <w:r>
              <w:t xml:space="preserve">комплексе Российской Федерации,       </w:t>
            </w:r>
          </w:p>
          <w:p w:rsidR="00D91C81" w:rsidRDefault="00D91C81">
            <w:pPr>
              <w:pStyle w:val="ConsPlusNonformat"/>
            </w:pPr>
            <w:r>
              <w:t xml:space="preserve">коллективных договоров и положений о  </w:t>
            </w:r>
          </w:p>
          <w:p w:rsidR="00D91C81" w:rsidRDefault="00D91C81">
            <w:pPr>
              <w:pStyle w:val="ConsPlusNonformat"/>
            </w:pPr>
            <w:r>
              <w:t xml:space="preserve">премировании, действующих в           </w:t>
            </w:r>
          </w:p>
          <w:p w:rsidR="00D91C81" w:rsidRDefault="00D91C81">
            <w:pPr>
              <w:pStyle w:val="ConsPlusNonformat"/>
            </w:pPr>
            <w:r>
              <w:t>структурных подразделениях предприятия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Единый социальный</w:t>
            </w:r>
          </w:p>
          <w:p w:rsidR="00D91C81" w:rsidRDefault="00D91C81">
            <w:pPr>
              <w:pStyle w:val="ConsPlusNonformat"/>
            </w:pPr>
            <w:r>
              <w:t xml:space="preserve">налог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 339,3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294,5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затрат на 44,8 млн. руб. за  </w:t>
            </w:r>
          </w:p>
          <w:p w:rsidR="00D91C81" w:rsidRDefault="00D91C81">
            <w:pPr>
              <w:pStyle w:val="ConsPlusNonformat"/>
            </w:pPr>
            <w:r>
              <w:t xml:space="preserve">счет снижения размера ФОТ ППП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lastRenderedPageBreak/>
              <w:t xml:space="preserve">Прочие расходы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2634,7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2954,0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>Увеличение затрат на 319,3 млн. руб. в</w:t>
            </w:r>
          </w:p>
          <w:p w:rsidR="00D91C81" w:rsidRDefault="00D91C81">
            <w:pPr>
              <w:pStyle w:val="ConsPlusNonformat"/>
            </w:pPr>
            <w:r>
              <w:t>основном в связи с включением в состав</w:t>
            </w:r>
          </w:p>
          <w:p w:rsidR="00D91C81" w:rsidRDefault="00D91C81">
            <w:pPr>
              <w:pStyle w:val="ConsPlusNonformat"/>
            </w:pPr>
            <w:r>
              <w:t xml:space="preserve">расходов согласно Постановлению ФЭК   </w:t>
            </w:r>
          </w:p>
          <w:p w:rsidR="00D91C81" w:rsidRDefault="00D91C81">
            <w:pPr>
              <w:pStyle w:val="ConsPlusNonformat"/>
            </w:pPr>
            <w:r>
              <w:t xml:space="preserve">России от 18.10.2003 N 84-э/2 "Об     </w:t>
            </w:r>
          </w:p>
          <w:p w:rsidR="00D91C81" w:rsidRDefault="00D91C81">
            <w:pPr>
              <w:pStyle w:val="ConsPlusNonformat"/>
            </w:pPr>
            <w:r>
              <w:t xml:space="preserve">утверждении платы ОАО "ФСК ЕЭС" за    </w:t>
            </w:r>
          </w:p>
          <w:p w:rsidR="00D91C81" w:rsidRDefault="00D91C81">
            <w:pPr>
              <w:pStyle w:val="ConsPlusNonformat"/>
            </w:pPr>
            <w:r>
              <w:t xml:space="preserve">услуги по передаче электрической      </w:t>
            </w:r>
          </w:p>
          <w:p w:rsidR="00D91C81" w:rsidRDefault="00D91C81">
            <w:pPr>
              <w:pStyle w:val="ConsPlusNonformat"/>
            </w:pPr>
            <w:r>
              <w:t xml:space="preserve">энергии по единой национальной        </w:t>
            </w:r>
          </w:p>
          <w:p w:rsidR="00D91C81" w:rsidRDefault="00D91C81">
            <w:pPr>
              <w:pStyle w:val="ConsPlusNonformat"/>
            </w:pPr>
            <w:r>
              <w:t xml:space="preserve">электрической сети" платы за услуги   </w:t>
            </w:r>
          </w:p>
          <w:p w:rsidR="00D91C81" w:rsidRDefault="00D91C81">
            <w:pPr>
              <w:pStyle w:val="ConsPlusNonformat"/>
            </w:pPr>
            <w:r>
              <w:t xml:space="preserve">ОАО "ФСК ЕЭС" по передаче             </w:t>
            </w:r>
          </w:p>
          <w:p w:rsidR="00D91C81" w:rsidRDefault="00D91C81">
            <w:pPr>
              <w:pStyle w:val="ConsPlusNonformat"/>
            </w:pPr>
            <w:r>
              <w:t xml:space="preserve">электрической энергии по единой       </w:t>
            </w:r>
          </w:p>
          <w:p w:rsidR="00D91C81" w:rsidRDefault="00D91C81">
            <w:pPr>
              <w:pStyle w:val="ConsPlusNonformat"/>
            </w:pPr>
            <w:r>
              <w:t xml:space="preserve">национальной электрической сети в     </w:t>
            </w:r>
          </w:p>
          <w:p w:rsidR="00D91C81" w:rsidRDefault="00D91C81">
            <w:pPr>
              <w:pStyle w:val="ConsPlusNonformat"/>
            </w:pPr>
            <w:r>
              <w:t>размере 366,1 млн. руб., не учтенной в</w:t>
            </w:r>
          </w:p>
          <w:p w:rsidR="00D91C81" w:rsidRDefault="00D91C81">
            <w:pPr>
              <w:pStyle w:val="ConsPlusNonformat"/>
            </w:pPr>
            <w:r>
              <w:t xml:space="preserve">расчете предприятия                   </w:t>
            </w:r>
          </w:p>
        </w:tc>
      </w:tr>
      <w:tr w:rsidR="00D91C81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Прибыль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 1975,7</w:t>
            </w:r>
          </w:p>
        </w:tc>
        <w:tc>
          <w:tcPr>
            <w:tcW w:w="12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 1543,7 </w:t>
            </w:r>
          </w:p>
        </w:tc>
        <w:tc>
          <w:tcPr>
            <w:tcW w:w="4800" w:type="dxa"/>
            <w:tcBorders>
              <w:top w:val="nil"/>
            </w:tcBorders>
          </w:tcPr>
          <w:p w:rsidR="00D91C81" w:rsidRDefault="00D91C81">
            <w:pPr>
              <w:pStyle w:val="ConsPlusNonformat"/>
            </w:pPr>
            <w:r>
              <w:t xml:space="preserve">Снижение расходов на 432 млн. руб. за </w:t>
            </w:r>
          </w:p>
          <w:p w:rsidR="00D91C81" w:rsidRDefault="00D91C81">
            <w:pPr>
              <w:pStyle w:val="ConsPlusNonformat"/>
            </w:pPr>
            <w:r>
              <w:t xml:space="preserve">счет:                                 </w:t>
            </w:r>
          </w:p>
          <w:p w:rsidR="00D91C81" w:rsidRDefault="00D91C81">
            <w:pPr>
              <w:pStyle w:val="ConsPlusNonformat"/>
            </w:pPr>
            <w:r>
              <w:t xml:space="preserve">- сокращения затрат на социальные     </w:t>
            </w:r>
          </w:p>
          <w:p w:rsidR="00D91C81" w:rsidRDefault="00D91C81">
            <w:pPr>
              <w:pStyle w:val="ConsPlusNonformat"/>
            </w:pPr>
            <w:r>
              <w:t xml:space="preserve">нужды за счет определения их объемов  </w:t>
            </w:r>
          </w:p>
          <w:p w:rsidR="00D91C81" w:rsidRDefault="00D91C81">
            <w:pPr>
              <w:pStyle w:val="ConsPlusNonformat"/>
            </w:pPr>
            <w:r>
              <w:t xml:space="preserve">соответствии с требованиями ОТС,      </w:t>
            </w:r>
          </w:p>
          <w:p w:rsidR="00D91C81" w:rsidRDefault="00D91C81">
            <w:pPr>
              <w:pStyle w:val="ConsPlusNonformat"/>
            </w:pPr>
            <w:r>
              <w:t xml:space="preserve">положения о социальных льготах и      </w:t>
            </w:r>
          </w:p>
          <w:p w:rsidR="00D91C81" w:rsidRDefault="00D91C81">
            <w:pPr>
              <w:pStyle w:val="ConsPlusNonformat"/>
            </w:pPr>
            <w:r>
              <w:t>гарантиях для работников и пенсионеров</w:t>
            </w:r>
          </w:p>
          <w:p w:rsidR="00D91C81" w:rsidRDefault="00D91C81">
            <w:pPr>
              <w:pStyle w:val="ConsPlusNonformat"/>
            </w:pPr>
            <w:r>
              <w:t xml:space="preserve">ОАО "Новосибирскэнерго", коллективных </w:t>
            </w:r>
          </w:p>
          <w:p w:rsidR="00D91C81" w:rsidRDefault="00D91C81">
            <w:pPr>
              <w:pStyle w:val="ConsPlusNonformat"/>
            </w:pPr>
            <w:r>
              <w:t xml:space="preserve">договоров и согласно программе        </w:t>
            </w:r>
          </w:p>
          <w:p w:rsidR="00D91C81" w:rsidRDefault="00D91C81">
            <w:pPr>
              <w:pStyle w:val="ConsPlusNonformat"/>
            </w:pPr>
            <w:r>
              <w:t xml:space="preserve">социального развития общества на 2004 </w:t>
            </w:r>
          </w:p>
          <w:p w:rsidR="00D91C81" w:rsidRDefault="00D91C81">
            <w:pPr>
              <w:pStyle w:val="ConsPlusNonformat"/>
            </w:pPr>
            <w:r>
              <w:t xml:space="preserve">год;                                  </w:t>
            </w:r>
          </w:p>
          <w:p w:rsidR="00D91C81" w:rsidRDefault="00D91C81">
            <w:pPr>
              <w:pStyle w:val="ConsPlusNonformat"/>
            </w:pPr>
            <w:r>
              <w:t>- снижения расходов на погашение части</w:t>
            </w:r>
          </w:p>
          <w:p w:rsidR="00D91C81" w:rsidRDefault="00D91C81">
            <w:pPr>
              <w:pStyle w:val="ConsPlusNonformat"/>
            </w:pPr>
            <w:r>
              <w:t xml:space="preserve">кредиторской задолженности, не        </w:t>
            </w:r>
          </w:p>
          <w:p w:rsidR="00D91C81" w:rsidRDefault="00D91C81">
            <w:pPr>
              <w:pStyle w:val="ConsPlusNonformat"/>
            </w:pPr>
            <w:r>
              <w:t>покрываемой встречными обязательствами</w:t>
            </w:r>
          </w:p>
          <w:p w:rsidR="00D91C81" w:rsidRDefault="00D91C81">
            <w:pPr>
              <w:pStyle w:val="ConsPlusNonformat"/>
            </w:pPr>
            <w:r>
              <w:t xml:space="preserve">дебиторов, размер которых определен   </w:t>
            </w:r>
          </w:p>
          <w:p w:rsidR="00D91C81" w:rsidRDefault="00D91C81">
            <w:pPr>
              <w:pStyle w:val="ConsPlusNonformat"/>
            </w:pPr>
            <w:r>
              <w:t xml:space="preserve">РЭК в соответствии с данными          </w:t>
            </w:r>
          </w:p>
          <w:p w:rsidR="00D91C81" w:rsidRDefault="00D91C81">
            <w:pPr>
              <w:pStyle w:val="ConsPlusNonformat"/>
            </w:pPr>
            <w:r>
              <w:t xml:space="preserve">бухгалтерской и статистической        </w:t>
            </w:r>
          </w:p>
          <w:p w:rsidR="00D91C81" w:rsidRDefault="00D91C81">
            <w:pPr>
              <w:pStyle w:val="ConsPlusNonformat"/>
            </w:pPr>
            <w:r>
              <w:t xml:space="preserve">отчетности по состоянию на 01.10.2003 </w:t>
            </w:r>
          </w:p>
          <w:p w:rsidR="00D91C81" w:rsidRDefault="00D91C81">
            <w:pPr>
              <w:pStyle w:val="ConsPlusNonformat"/>
            </w:pPr>
            <w:r>
              <w:t xml:space="preserve">в части, относящейся к регулируемому  </w:t>
            </w:r>
          </w:p>
          <w:p w:rsidR="00D91C81" w:rsidRDefault="00D91C81">
            <w:pPr>
              <w:pStyle w:val="ConsPlusNonformat"/>
            </w:pPr>
            <w:r>
              <w:t xml:space="preserve">виду деятельности;                    </w:t>
            </w:r>
          </w:p>
          <w:p w:rsidR="00D91C81" w:rsidRDefault="00D91C81">
            <w:pPr>
              <w:pStyle w:val="ConsPlusNonformat"/>
            </w:pPr>
            <w:r>
              <w:t xml:space="preserve">- снижения расходов на регистрацию    </w:t>
            </w:r>
          </w:p>
          <w:p w:rsidR="00D91C81" w:rsidRDefault="00D91C81">
            <w:pPr>
              <w:pStyle w:val="ConsPlusNonformat"/>
            </w:pPr>
            <w:r>
              <w:t xml:space="preserve">прав собственности в связи с          </w:t>
            </w:r>
          </w:p>
          <w:p w:rsidR="00D91C81" w:rsidRDefault="00D91C81">
            <w:pPr>
              <w:pStyle w:val="ConsPlusNonformat"/>
            </w:pPr>
            <w:r>
              <w:t xml:space="preserve">исключением оплаченной в 2002 г. и    </w:t>
            </w:r>
          </w:p>
          <w:p w:rsidR="00D91C81" w:rsidRDefault="00D91C81">
            <w:pPr>
              <w:pStyle w:val="ConsPlusNonformat"/>
            </w:pPr>
            <w:r>
              <w:t xml:space="preserve">предусмотренной в тарифах 2003 г.     </w:t>
            </w:r>
          </w:p>
          <w:p w:rsidR="00D91C81" w:rsidRDefault="00D91C81">
            <w:pPr>
              <w:pStyle w:val="ConsPlusNonformat"/>
            </w:pPr>
            <w:r>
              <w:t xml:space="preserve">части указанной в договоре суммы, а   </w:t>
            </w:r>
          </w:p>
          <w:p w:rsidR="00D91C81" w:rsidRDefault="00D91C81">
            <w:pPr>
              <w:pStyle w:val="ConsPlusNonformat"/>
            </w:pPr>
            <w:r>
              <w:t xml:space="preserve">также исключения НДС;                 </w:t>
            </w:r>
          </w:p>
          <w:p w:rsidR="00D91C81" w:rsidRDefault="00D91C81">
            <w:pPr>
              <w:pStyle w:val="ConsPlusNonformat"/>
            </w:pPr>
            <w:r>
              <w:t>- снижения налога на имущество в связи</w:t>
            </w:r>
          </w:p>
          <w:p w:rsidR="00D91C81" w:rsidRDefault="00D91C81">
            <w:pPr>
              <w:pStyle w:val="ConsPlusNonformat"/>
            </w:pPr>
            <w:r>
              <w:t xml:space="preserve">с изменением порядка расчета в        </w:t>
            </w:r>
          </w:p>
          <w:p w:rsidR="00D91C81" w:rsidRDefault="00D91C81">
            <w:pPr>
              <w:pStyle w:val="ConsPlusNonformat"/>
            </w:pPr>
            <w:r>
              <w:t xml:space="preserve">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</w:p>
          <w:p w:rsidR="00D91C81" w:rsidRDefault="00D91C81">
            <w:pPr>
              <w:pStyle w:val="ConsPlusNonformat"/>
            </w:pPr>
            <w:r>
              <w:t xml:space="preserve">11.11.2003 N 139-ФЗ                   </w:t>
            </w:r>
          </w:p>
        </w:tc>
      </w:tr>
    </w:tbl>
    <w:p w:rsidR="00D91C81" w:rsidRDefault="00D91C81">
      <w:pPr>
        <w:pStyle w:val="ConsPlusNormal"/>
      </w:pPr>
    </w:p>
    <w:p w:rsidR="00D91C81" w:rsidRDefault="00D91C81">
      <w:pPr>
        <w:pStyle w:val="ConsPlusNormal"/>
      </w:pPr>
    </w:p>
    <w:p w:rsidR="00D91C81" w:rsidRDefault="00D91C8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930E7F" w:rsidRDefault="00930E7F"/>
    <w:sectPr w:rsidR="00930E7F" w:rsidSect="00FD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81"/>
    <w:rsid w:val="00930E7F"/>
    <w:rsid w:val="00D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BDA8498246973C80174BFEB2F5CB68C776B7DB522CEDEF2C4A9A6BBC21AEE4B4F2241137D6A3778ED4755dFX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6AB2FD4302BF81783C77B52B9A82A4C2FEF9EBC44FBC0B117B115036663461F14656EFE9FCC8dBX3D" TargetMode="External"/><Relationship Id="rId5" Type="http://schemas.openxmlformats.org/officeDocument/2006/relationships/hyperlink" Target="consultantplus://offline/ref=27BBDA8498246973C80174BFEB2F5CB68C70607CB122CEDEF2C4A9A6BBC21AEE4B4F2241137D6A3778ED4755dFX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2019-12-17T03:23:00Z</dcterms:created>
  <dcterms:modified xsi:type="dcterms:W3CDTF">2019-12-17T03:24:00Z</dcterms:modified>
</cp:coreProperties>
</file>