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CF66D7">
      <w:r>
        <w:rPr>
          <w:b/>
          <w:bCs/>
        </w:rPr>
        <w:t>В связи с тем, что при установлении сбытовой надбавки ОАО «Новосибирскэнергосбыт» на 2014 г. не применялся метод доходности инвестированного капитала, ОАО «Новосибирскэнергосбыт» не раскрывается информация в соответствии с подпунктом «в» пункта 9 Стандартов раскрытия информации субъектами оптового и розничных рынков (утв. постановлением Правительства РФ от 21.01.2004 № 24).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F"/>
    <w:rsid w:val="00004C6E"/>
    <w:rsid w:val="001043D7"/>
    <w:rsid w:val="003D6E23"/>
    <w:rsid w:val="00752955"/>
    <w:rsid w:val="00C717C0"/>
    <w:rsid w:val="00CB2721"/>
    <w:rsid w:val="00CF66D7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2019-12-19T06:44:00Z</dcterms:created>
  <dcterms:modified xsi:type="dcterms:W3CDTF">2019-12-19T06:44:00Z</dcterms:modified>
</cp:coreProperties>
</file>