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F1" w:rsidRDefault="001E08F1">
      <w:pPr>
        <w:pStyle w:val="ConsPlusTitlePage"/>
      </w:pPr>
      <w:bookmarkStart w:id="0" w:name="_GoBack"/>
      <w:bookmarkEnd w:id="0"/>
      <w:r>
        <w:br/>
      </w:r>
    </w:p>
    <w:p w:rsidR="001E08F1" w:rsidRDefault="001E08F1">
      <w:pPr>
        <w:pStyle w:val="ConsPlusNormal"/>
        <w:outlineLvl w:val="0"/>
      </w:pPr>
    </w:p>
    <w:p w:rsidR="001E08F1" w:rsidRDefault="001E08F1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1E08F1" w:rsidRDefault="001E08F1">
      <w:pPr>
        <w:pStyle w:val="ConsPlusTitle"/>
        <w:jc w:val="center"/>
      </w:pPr>
    </w:p>
    <w:p w:rsidR="001E08F1" w:rsidRDefault="001E08F1">
      <w:pPr>
        <w:pStyle w:val="ConsPlusTitle"/>
        <w:jc w:val="center"/>
      </w:pPr>
      <w:r>
        <w:t>ПРИКАЗ</w:t>
      </w:r>
    </w:p>
    <w:p w:rsidR="001E08F1" w:rsidRDefault="001E08F1">
      <w:pPr>
        <w:pStyle w:val="ConsPlusTitle"/>
        <w:jc w:val="center"/>
      </w:pPr>
      <w:r>
        <w:t>от 29 декабря 2009 г. N 86-Е</w:t>
      </w:r>
    </w:p>
    <w:p w:rsidR="001E08F1" w:rsidRDefault="001E08F1">
      <w:pPr>
        <w:pStyle w:val="ConsPlusTitle"/>
        <w:jc w:val="center"/>
      </w:pPr>
    </w:p>
    <w:p w:rsidR="001E08F1" w:rsidRDefault="001E08F1">
      <w:pPr>
        <w:pStyle w:val="ConsPlusTitle"/>
        <w:jc w:val="center"/>
      </w:pPr>
      <w:r>
        <w:t>ОБ УСТАНОВЛЕНИИ ТАРИФОВ НА ЭЛЕКТРИЧЕСКУЮ ЭНЕРГИЮ,</w:t>
      </w:r>
    </w:p>
    <w:p w:rsidR="001E08F1" w:rsidRDefault="001E08F1">
      <w:pPr>
        <w:pStyle w:val="ConsPlusTitle"/>
        <w:jc w:val="center"/>
      </w:pPr>
      <w:r>
        <w:t>ПОСТАВЛЯЕМУЮ ПОТРЕБИТЕЛЯМ НОВОСИБИРСКОЙ ОБЛАСТИ</w:t>
      </w:r>
    </w:p>
    <w:p w:rsidR="001E08F1" w:rsidRDefault="001E08F1">
      <w:pPr>
        <w:pStyle w:val="ConsPlusTitle"/>
        <w:jc w:val="center"/>
      </w:pPr>
      <w:r>
        <w:t>ГАРАНТИРУЮЩИМ ПОСТАВЩИКОМ ОАО "СИБИРЬЭНЕРГО"</w:t>
      </w:r>
    </w:p>
    <w:p w:rsidR="001E08F1" w:rsidRDefault="001E08F1">
      <w:pPr>
        <w:pStyle w:val="ConsPlusTitle"/>
        <w:jc w:val="center"/>
      </w:pPr>
      <w:r>
        <w:t>В ГРАНИЦАХ ЗОНЫ ЕГО ДЕЯТЕЛЬНОСТИ</w:t>
      </w: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14.04.1995 N 41-ФЗ "О государственном регулировании тарифов на электрическую и тепловую энергию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8" w:history="1">
        <w:r>
          <w:rPr>
            <w:color w:val="0000FF"/>
          </w:rPr>
          <w:t>Методическими указаниями</w:t>
        </w:r>
      </w:hyperlink>
      <w:r>
        <w:t xml:space="preserve"> по расчету 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 N 20-э/2,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22.09.2009 N 216-э/2 "О предельных уровнях тарифов на электрическую энергию на 2010 год",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08.04.2005 N 130-э "Об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(мощности)",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департаменте по тарифам Новосибирской области, утвержденным постановлением Губернатора Новосибирской области от 28.09.2009 N 406, решением правления департамента по тарифам Новосибирской области (протокол заседания правления от 29.12.2009 N 34)</w:t>
      </w:r>
    </w:p>
    <w:p w:rsidR="001E08F1" w:rsidRDefault="001E08F1">
      <w:pPr>
        <w:pStyle w:val="ConsPlusNormal"/>
        <w:spacing w:before="220"/>
        <w:ind w:firstLine="540"/>
        <w:jc w:val="both"/>
      </w:pPr>
      <w:r>
        <w:t>департамент по тарифам Новосибирской области приказывает:</w:t>
      </w:r>
    </w:p>
    <w:p w:rsidR="001E08F1" w:rsidRDefault="001E08F1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1. Установить </w:t>
      </w:r>
      <w:hyperlink w:anchor="P32" w:history="1">
        <w:r>
          <w:rPr>
            <w:color w:val="0000FF"/>
          </w:rPr>
          <w:t>тарифы</w:t>
        </w:r>
      </w:hyperlink>
      <w:r>
        <w:t xml:space="preserve"> на электрическую энергию, поставляемую потребителям Новосибирской области гарантирующим поставщиком ОАО "СибирьЭнерго" в границах зоны его деятельности, согласно приложению.</w:t>
      </w:r>
    </w:p>
    <w:p w:rsidR="001E08F1" w:rsidRDefault="001E08F1">
      <w:pPr>
        <w:pStyle w:val="ConsPlusNormal"/>
        <w:spacing w:before="220"/>
        <w:ind w:firstLine="540"/>
        <w:jc w:val="both"/>
      </w:pPr>
      <w:r>
        <w:t xml:space="preserve">2. </w:t>
      </w:r>
      <w:hyperlink w:anchor="P32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1 января 2010 года.</w:t>
      </w:r>
    </w:p>
    <w:p w:rsidR="001E08F1" w:rsidRDefault="001E08F1">
      <w:pPr>
        <w:pStyle w:val="ConsPlusNormal"/>
        <w:spacing w:before="220"/>
        <w:ind w:firstLine="540"/>
        <w:jc w:val="both"/>
      </w:pPr>
      <w:r>
        <w:t>3. Признать утратившими силу с 1 января 2010 года:</w:t>
      </w:r>
    </w:p>
    <w:p w:rsidR="001E08F1" w:rsidRDefault="001E08F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29.12.2008 N 77-Е "Об установлении тарифов на электрическую энергию, поставляемую потребителям Новосибирской области гарантирующим поставщиком ОАО "СибирьЭнерго" в границах зоны его деятельности",</w:t>
      </w:r>
    </w:p>
    <w:p w:rsidR="001E08F1" w:rsidRDefault="001E08F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05.03.2009 N 8-Е "О внесении изменений в приказ департамента по тарифам Новосибирской области от 29.12.2008 N 77-Е "Об установлении тарифов на электрическую энергию, поставляемую потребителям Новосибирской области гарантирующим поставщиком ОАО "СибирьЭнерго" в границах зоны его деятельности".</w:t>
      </w: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jc w:val="right"/>
      </w:pPr>
      <w:r>
        <w:t>Руководитель департамента</w:t>
      </w:r>
    </w:p>
    <w:p w:rsidR="001E08F1" w:rsidRDefault="001E08F1">
      <w:pPr>
        <w:pStyle w:val="ConsPlusNormal"/>
        <w:jc w:val="right"/>
      </w:pPr>
      <w:r>
        <w:t>Н.Н.ЖУДИКОВА</w:t>
      </w: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jc w:val="right"/>
        <w:outlineLvl w:val="0"/>
      </w:pPr>
      <w:r>
        <w:t>Приложение</w:t>
      </w:r>
    </w:p>
    <w:p w:rsidR="001E08F1" w:rsidRDefault="001E08F1">
      <w:pPr>
        <w:pStyle w:val="ConsPlusNormal"/>
        <w:jc w:val="right"/>
      </w:pPr>
      <w:r>
        <w:t>к приказу</w:t>
      </w:r>
    </w:p>
    <w:p w:rsidR="001E08F1" w:rsidRDefault="001E08F1">
      <w:pPr>
        <w:pStyle w:val="ConsPlusNormal"/>
        <w:jc w:val="right"/>
      </w:pPr>
      <w:r>
        <w:t>департамента по тарифам</w:t>
      </w:r>
    </w:p>
    <w:p w:rsidR="001E08F1" w:rsidRDefault="001E08F1">
      <w:pPr>
        <w:pStyle w:val="ConsPlusNormal"/>
        <w:jc w:val="right"/>
      </w:pPr>
      <w:r>
        <w:t>Новосибирской области</w:t>
      </w:r>
    </w:p>
    <w:p w:rsidR="001E08F1" w:rsidRDefault="001E08F1">
      <w:pPr>
        <w:pStyle w:val="ConsPlusNormal"/>
        <w:jc w:val="right"/>
      </w:pPr>
      <w:r>
        <w:t>от 29.12.2009 N 86-Е</w:t>
      </w: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Title"/>
        <w:jc w:val="center"/>
      </w:pPr>
      <w:bookmarkStart w:id="2" w:name="P32"/>
      <w:bookmarkEnd w:id="2"/>
      <w:r>
        <w:t>ТАРИФЫ</w:t>
      </w:r>
    </w:p>
    <w:p w:rsidR="001E08F1" w:rsidRDefault="001E08F1">
      <w:pPr>
        <w:pStyle w:val="ConsPlusTitle"/>
        <w:jc w:val="center"/>
      </w:pPr>
      <w:r>
        <w:t>НА ЭЛЕКТРИЧЕСКУЮ ЭНЕРГИЮ, ПОСТАВЛЯЕМУЮ ПОТРЕБИТЕЛЯМ</w:t>
      </w:r>
    </w:p>
    <w:p w:rsidR="001E08F1" w:rsidRDefault="001E08F1">
      <w:pPr>
        <w:pStyle w:val="ConsPlusTitle"/>
        <w:jc w:val="center"/>
      </w:pPr>
      <w:r>
        <w:t>НОВОСИБИРСКОЙ ОБЛАСТИ ГАРАНТИРУЮЩИМ ПОСТАВЩИКОМ</w:t>
      </w:r>
    </w:p>
    <w:p w:rsidR="001E08F1" w:rsidRDefault="001E08F1">
      <w:pPr>
        <w:pStyle w:val="ConsPlusTitle"/>
        <w:jc w:val="center"/>
      </w:pPr>
      <w:r>
        <w:t>ОАО "СИБИРЬЭНЕРГО" В ГРАНИЦАХ ЗОНЫ ЕГО ДЕЯТЕЛЬНОСТИ</w:t>
      </w:r>
    </w:p>
    <w:p w:rsidR="001E08F1" w:rsidRDefault="001E08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2880"/>
        <w:gridCol w:w="1320"/>
        <w:gridCol w:w="1080"/>
        <w:gridCol w:w="1080"/>
        <w:gridCol w:w="1080"/>
        <w:gridCol w:w="1080"/>
      </w:tblGrid>
      <w:tr w:rsidR="001E08F1">
        <w:trPr>
          <w:trHeight w:val="240"/>
        </w:trPr>
        <w:tc>
          <w:tcPr>
            <w:tcW w:w="1200" w:type="dxa"/>
            <w:vMerge w:val="restart"/>
          </w:tcPr>
          <w:p w:rsidR="001E08F1" w:rsidRDefault="001E08F1">
            <w:pPr>
              <w:pStyle w:val="ConsPlusNonformat"/>
            </w:pPr>
            <w:r>
              <w:t xml:space="preserve">   N    </w:t>
            </w:r>
          </w:p>
          <w:p w:rsidR="001E08F1" w:rsidRDefault="001E08F1">
            <w:pPr>
              <w:pStyle w:val="ConsPlusNonformat"/>
            </w:pPr>
            <w:r>
              <w:t xml:space="preserve">  п/п   </w:t>
            </w:r>
          </w:p>
        </w:tc>
        <w:tc>
          <w:tcPr>
            <w:tcW w:w="2880" w:type="dxa"/>
            <w:vMerge w:val="restart"/>
          </w:tcPr>
          <w:p w:rsidR="001E08F1" w:rsidRDefault="001E08F1">
            <w:pPr>
              <w:pStyle w:val="ConsPlusNonformat"/>
            </w:pPr>
            <w:r>
              <w:t xml:space="preserve">  Показатель (группы  </w:t>
            </w:r>
          </w:p>
          <w:p w:rsidR="001E08F1" w:rsidRDefault="001E08F1">
            <w:pPr>
              <w:pStyle w:val="ConsPlusNonformat"/>
            </w:pPr>
            <w:r>
              <w:t xml:space="preserve">    потребителей с    </w:t>
            </w:r>
          </w:p>
          <w:p w:rsidR="001E08F1" w:rsidRDefault="001E08F1">
            <w:pPr>
              <w:pStyle w:val="ConsPlusNonformat"/>
            </w:pPr>
            <w:r>
              <w:t xml:space="preserve"> разбивкой тарифа по  </w:t>
            </w:r>
          </w:p>
          <w:p w:rsidR="001E08F1" w:rsidRDefault="001E08F1">
            <w:pPr>
              <w:pStyle w:val="ConsPlusNonformat"/>
            </w:pPr>
            <w:r>
              <w:t xml:space="preserve">      ставкам и       </w:t>
            </w:r>
          </w:p>
          <w:p w:rsidR="001E08F1" w:rsidRDefault="001E08F1">
            <w:pPr>
              <w:pStyle w:val="ConsPlusNonformat"/>
            </w:pPr>
            <w:r>
              <w:t xml:space="preserve">дифференцированием по </w:t>
            </w:r>
          </w:p>
          <w:p w:rsidR="001E08F1" w:rsidRDefault="001E08F1">
            <w:pPr>
              <w:pStyle w:val="ConsPlusNonformat"/>
            </w:pPr>
            <w:r>
              <w:t xml:space="preserve">     зонам суток)     </w:t>
            </w:r>
          </w:p>
        </w:tc>
        <w:tc>
          <w:tcPr>
            <w:tcW w:w="1320" w:type="dxa"/>
            <w:vMerge w:val="restart"/>
          </w:tcPr>
          <w:p w:rsidR="001E08F1" w:rsidRDefault="001E08F1">
            <w:pPr>
              <w:pStyle w:val="ConsPlusNonformat"/>
            </w:pPr>
            <w:r>
              <w:t xml:space="preserve"> Единица </w:t>
            </w:r>
          </w:p>
          <w:p w:rsidR="001E08F1" w:rsidRDefault="001E08F1">
            <w:pPr>
              <w:pStyle w:val="ConsPlusNonformat"/>
            </w:pPr>
            <w:r>
              <w:t>измерения</w:t>
            </w:r>
          </w:p>
        </w:tc>
        <w:tc>
          <w:tcPr>
            <w:tcW w:w="4320" w:type="dxa"/>
            <w:gridSpan w:val="4"/>
          </w:tcPr>
          <w:p w:rsidR="001E08F1" w:rsidRDefault="001E08F1">
            <w:pPr>
              <w:pStyle w:val="ConsPlusNonformat"/>
            </w:pPr>
            <w:r>
              <w:t xml:space="preserve">     Диапазоны напряжения      </w:t>
            </w:r>
          </w:p>
        </w:tc>
      </w:tr>
      <w:tr w:rsidR="001E08F1">
        <w:tc>
          <w:tcPr>
            <w:tcW w:w="1080" w:type="dxa"/>
            <w:vMerge/>
            <w:tcBorders>
              <w:top w:val="nil"/>
            </w:tcBorders>
          </w:tcPr>
          <w:p w:rsidR="001E08F1" w:rsidRDefault="001E08F1"/>
        </w:tc>
        <w:tc>
          <w:tcPr>
            <w:tcW w:w="2760" w:type="dxa"/>
            <w:vMerge/>
            <w:tcBorders>
              <w:top w:val="nil"/>
            </w:tcBorders>
          </w:tcPr>
          <w:p w:rsidR="001E08F1" w:rsidRDefault="001E08F1"/>
        </w:tc>
        <w:tc>
          <w:tcPr>
            <w:tcW w:w="1200" w:type="dxa"/>
            <w:vMerge/>
            <w:tcBorders>
              <w:top w:val="nil"/>
            </w:tcBorders>
          </w:tcPr>
          <w:p w:rsidR="001E08F1" w:rsidRDefault="001E08F1"/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ВН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СН-I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СН-II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НН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1  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       2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 3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4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5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6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7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  <w:outlineLvl w:val="1"/>
            </w:pPr>
            <w:r>
              <w:t xml:space="preserve">1.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1E08F1" w:rsidRDefault="001E08F1">
            <w:pPr>
              <w:pStyle w:val="ConsPlusNonformat"/>
              <w:outlineLvl w:val="1"/>
            </w:pPr>
            <w:bookmarkStart w:id="3" w:name="P47"/>
            <w:bookmarkEnd w:id="3"/>
            <w:r>
              <w:t xml:space="preserve">Базовые потребители (тарифы указываются без НДС)             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1.1.  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Одноставочный тариф,  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1.1.1.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1.1.2.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1.2.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Двухставочный тариф                                          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1.2.1.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- ставка за мощность, 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МВт·мес.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1.2.1.1.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мощности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МВт·мес.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1.2.1.2.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ставка за содержание  </w:t>
            </w:r>
          </w:p>
          <w:p w:rsidR="001E08F1" w:rsidRDefault="001E08F1">
            <w:pPr>
              <w:pStyle w:val="ConsPlusNonformat"/>
            </w:pPr>
            <w:r>
              <w:t xml:space="preserve">электрических сетей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МВт·мес.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1.2.2.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- ставка за энергию,  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1.2.2.1.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1.2.2.2.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ставка на оплату      </w:t>
            </w:r>
          </w:p>
          <w:p w:rsidR="001E08F1" w:rsidRDefault="001E08F1">
            <w:pPr>
              <w:pStyle w:val="ConsPlusNonformat"/>
            </w:pPr>
            <w:r>
              <w:t xml:space="preserve">технологического      </w:t>
            </w:r>
          </w:p>
          <w:p w:rsidR="001E08F1" w:rsidRDefault="001E08F1">
            <w:pPr>
              <w:pStyle w:val="ConsPlusNonformat"/>
            </w:pPr>
            <w:r>
              <w:t xml:space="preserve">расхода (потерь) в    </w:t>
            </w:r>
          </w:p>
          <w:p w:rsidR="001E08F1" w:rsidRDefault="001E08F1">
            <w:pPr>
              <w:pStyle w:val="ConsPlusNonformat"/>
            </w:pPr>
            <w:r>
              <w:t xml:space="preserve">электрических сетях,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lastRenderedPageBreak/>
              <w:t xml:space="preserve">1.3.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Тарифы, дифференцированные по зонам суток                    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1.3.1.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- ночная зона, в т.ч.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1.3.1.1.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1.3.1.2.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1.3.2.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- полупиковая зона,   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1.3.2.1.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1.3.2.2.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1.3.3.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- пиковая зона, в т.ч.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1.3.2.1.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1.3.2.2.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  <w:outlineLvl w:val="1"/>
            </w:pPr>
            <w:r>
              <w:t xml:space="preserve">2.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1E08F1" w:rsidRDefault="001E08F1">
            <w:pPr>
              <w:pStyle w:val="ConsPlusNonformat"/>
              <w:outlineLvl w:val="1"/>
            </w:pPr>
            <w:bookmarkStart w:id="4" w:name="P139"/>
            <w:bookmarkEnd w:id="4"/>
            <w:r>
              <w:t xml:space="preserve">Прочие потребители (тарифы указываются без НДС)              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2.1.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bookmarkStart w:id="5" w:name="P141"/>
            <w:bookmarkEnd w:id="5"/>
            <w:r>
              <w:t xml:space="preserve">Одноставочный тариф, дифференцированный по числу часов          </w:t>
            </w:r>
          </w:p>
          <w:p w:rsidR="001E08F1" w:rsidRDefault="001E08F1">
            <w:pPr>
              <w:pStyle w:val="ConsPlusNonformat"/>
            </w:pPr>
            <w:r>
              <w:t xml:space="preserve">использования заявленной мощности                            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2.1.1.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от 7001 и выше, в т.ч.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1 378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1 680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1 701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1 780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2.1.1.1.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782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782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782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782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2.1.1.2.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596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898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919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998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2.1.2.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от 6001 до 7000 часов,</w:t>
            </w:r>
          </w:p>
          <w:p w:rsidR="001E08F1" w:rsidRDefault="001E08F1">
            <w:pPr>
              <w:pStyle w:val="ConsPlusNonformat"/>
            </w:pPr>
            <w:r>
              <w:lastRenderedPageBreak/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lastRenderedPageBreak/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lastRenderedPageBreak/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lastRenderedPageBreak/>
              <w:t xml:space="preserve"> 1 434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1 736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1 757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1 836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lastRenderedPageBreak/>
              <w:t>2.1.2.1.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838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838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838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838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2.1.2.2.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596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898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919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998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2.1.3.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от 5001 до 6000 часов,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1 511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1 813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1 834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1 913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2.1.3.1.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915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915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915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915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2.1.3.2.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596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898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919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998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2.1.4.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менее 5000 часов,     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1 621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1 923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1 944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2 023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2.1.4.1.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1 025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1 025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1 025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1 025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2.1.4.2.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596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898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919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998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2.1.5.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от 3001 до 4000 часов,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2.1.5.1.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2.1.5.2.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2.1.6.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от 2001 до 3000 часов,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2.1.6.1.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2.1.6.2.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lastRenderedPageBreak/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lastRenderedPageBreak/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lastRenderedPageBreak/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lastRenderedPageBreak/>
              <w:t xml:space="preserve">2.1.7.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менее 2000 часов:     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2.1.7.1.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2.1.7.2.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2.2.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bookmarkStart w:id="6" w:name="P249"/>
            <w:bookmarkEnd w:id="6"/>
            <w:r>
              <w:t xml:space="preserve">Двухставочный тариф                                          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2.2.1.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- ставка за мощность, 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МВт·мес.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2.2.1.1.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мощности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МВт·мес.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228 467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228 467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228 467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228 467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2.2.1.2.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ставка за содержание  </w:t>
            </w:r>
          </w:p>
          <w:p w:rsidR="001E08F1" w:rsidRDefault="001E08F1">
            <w:pPr>
              <w:pStyle w:val="ConsPlusNonformat"/>
            </w:pPr>
            <w:r>
              <w:t xml:space="preserve">электрических сетей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МВт·мес.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266 328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313 670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329 877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442 971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2.2.2.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- ставка за энергию,  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 x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2.2.2.1.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416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416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416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416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2.2.2.2.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ставка на оплату      </w:t>
            </w:r>
          </w:p>
          <w:p w:rsidR="001E08F1" w:rsidRDefault="001E08F1">
            <w:pPr>
              <w:pStyle w:val="ConsPlusNonformat"/>
            </w:pPr>
            <w:r>
              <w:t xml:space="preserve">технологического      </w:t>
            </w:r>
          </w:p>
          <w:p w:rsidR="001E08F1" w:rsidRDefault="001E08F1">
            <w:pPr>
              <w:pStyle w:val="ConsPlusNonformat"/>
            </w:pPr>
            <w:r>
              <w:t xml:space="preserve">расхода (потерь) в    </w:t>
            </w:r>
          </w:p>
          <w:p w:rsidR="001E08F1" w:rsidRDefault="001E08F1">
            <w:pPr>
              <w:pStyle w:val="ConsPlusNonformat"/>
            </w:pPr>
            <w:r>
              <w:t xml:space="preserve">электрических сетях,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187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311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343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286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2.3.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Тарифы, дифференцированные по зонам суток                     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2.3.1.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- ночная зона, в т.ч.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958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1 315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1 326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1 451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2.3.1.1.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416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416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416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416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2.3.1.2.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542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899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910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1 035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2.3.2.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- полупиковая зона,   </w:t>
            </w:r>
          </w:p>
          <w:p w:rsidR="001E08F1" w:rsidRDefault="001E08F1">
            <w:pPr>
              <w:pStyle w:val="ConsPlusNonformat"/>
            </w:pPr>
            <w:r>
              <w:t xml:space="preserve">в т.ч.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1 342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1 699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1 710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1 835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lastRenderedPageBreak/>
              <w:t>2.3.2.1.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800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800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800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800 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2.3.2.2.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542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899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910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1 035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2.3.3.  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- пиковая зона, в т.ч.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1 772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2 129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2 140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2 265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2.3.3.1.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средневзвешенная      </w:t>
            </w:r>
          </w:p>
          <w:p w:rsidR="001E08F1" w:rsidRDefault="001E08F1">
            <w:pPr>
              <w:pStyle w:val="ConsPlusNonformat"/>
            </w:pPr>
            <w:r>
              <w:t xml:space="preserve">стоимость             </w:t>
            </w:r>
          </w:p>
          <w:p w:rsidR="001E08F1" w:rsidRDefault="001E08F1">
            <w:pPr>
              <w:pStyle w:val="ConsPlusNonformat"/>
            </w:pPr>
            <w:r>
              <w:t xml:space="preserve">электроэнергии        </w:t>
            </w:r>
          </w:p>
          <w:p w:rsidR="001E08F1" w:rsidRDefault="001E08F1">
            <w:pPr>
              <w:pStyle w:val="ConsPlusNonformat"/>
            </w:pPr>
            <w:r>
              <w:t xml:space="preserve">(мощности)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1 230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1 230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1 230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1 230 </w:t>
            </w:r>
          </w:p>
        </w:tc>
      </w:tr>
      <w:tr w:rsidR="001E08F1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>2.3.3.2.</w:t>
            </w:r>
          </w:p>
        </w:tc>
        <w:tc>
          <w:tcPr>
            <w:tcW w:w="28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услуги по передаче,   </w:t>
            </w:r>
          </w:p>
          <w:p w:rsidR="001E08F1" w:rsidRDefault="001E08F1">
            <w:pPr>
              <w:pStyle w:val="ConsPlusNonformat"/>
            </w:pPr>
            <w:r>
              <w:t xml:space="preserve">сбытовая надбавка     </w:t>
            </w:r>
          </w:p>
          <w:p w:rsidR="001E08F1" w:rsidRDefault="001E08F1">
            <w:pPr>
              <w:pStyle w:val="ConsPlusNonformat"/>
            </w:pPr>
            <w:r>
              <w:t xml:space="preserve">гарантирующего        </w:t>
            </w:r>
          </w:p>
          <w:p w:rsidR="001E08F1" w:rsidRDefault="001E08F1">
            <w:pPr>
              <w:pStyle w:val="ConsPlusNonformat"/>
            </w:pPr>
            <w:r>
              <w:t xml:space="preserve">поставщика,           </w:t>
            </w:r>
          </w:p>
          <w:p w:rsidR="001E08F1" w:rsidRDefault="001E08F1">
            <w:pPr>
              <w:pStyle w:val="ConsPlusNonformat"/>
            </w:pPr>
            <w:r>
              <w:t xml:space="preserve">инфраструктурные      </w:t>
            </w:r>
          </w:p>
          <w:p w:rsidR="001E08F1" w:rsidRDefault="001E08F1">
            <w:pPr>
              <w:pStyle w:val="ConsPlusNonformat"/>
            </w:pPr>
            <w:r>
              <w:t xml:space="preserve">платежи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руб./    </w:t>
            </w:r>
          </w:p>
          <w:p w:rsidR="001E08F1" w:rsidRDefault="001E08F1">
            <w:pPr>
              <w:pStyle w:val="ConsPlusNonformat"/>
            </w:pPr>
            <w:r>
              <w:t xml:space="preserve">МВт·ч  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542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899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 910  </w:t>
            </w:r>
          </w:p>
        </w:tc>
        <w:tc>
          <w:tcPr>
            <w:tcW w:w="1080" w:type="dxa"/>
            <w:tcBorders>
              <w:top w:val="nil"/>
            </w:tcBorders>
          </w:tcPr>
          <w:p w:rsidR="001E08F1" w:rsidRDefault="001E08F1">
            <w:pPr>
              <w:pStyle w:val="ConsPlusNonformat"/>
            </w:pPr>
            <w:r>
              <w:t xml:space="preserve"> 1 035 </w:t>
            </w:r>
          </w:p>
        </w:tc>
      </w:tr>
    </w:tbl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ind w:firstLine="540"/>
        <w:jc w:val="both"/>
      </w:pPr>
      <w:r>
        <w:t>ПРИМЕЧАНИЯ по применению настоящего приложения:</w:t>
      </w:r>
    </w:p>
    <w:p w:rsidR="001E08F1" w:rsidRDefault="001E08F1">
      <w:pPr>
        <w:pStyle w:val="ConsPlusNormal"/>
        <w:spacing w:before="220"/>
        <w:ind w:firstLine="540"/>
        <w:jc w:val="both"/>
      </w:pPr>
      <w:r>
        <w:t xml:space="preserve">для бюджетных потребителей применяются тарифы группы "Прочие потребители", предусмотренные </w:t>
      </w:r>
      <w:hyperlink w:anchor="P139" w:history="1">
        <w:r>
          <w:rPr>
            <w:color w:val="0000FF"/>
          </w:rPr>
          <w:t>пунктом 2</w:t>
        </w:r>
      </w:hyperlink>
      <w:r>
        <w:t xml:space="preserve"> приложения, аналогичного класса напряжения и числа часов использования.</w:t>
      </w:r>
    </w:p>
    <w:p w:rsidR="001E08F1" w:rsidRDefault="001E08F1">
      <w:pPr>
        <w:pStyle w:val="ConsPlusNormal"/>
        <w:spacing w:before="220"/>
        <w:ind w:firstLine="540"/>
        <w:jc w:val="both"/>
      </w:pPr>
      <w:r>
        <w:t xml:space="preserve">Потребители, подключенные к шинам тепловых электростанций, оплачивают электрическую энергию по тарифам, предусмотренным </w:t>
      </w:r>
      <w:hyperlink w:anchor="P141" w:history="1">
        <w:r>
          <w:rPr>
            <w:color w:val="0000FF"/>
          </w:rPr>
          <w:t>п. 2.1</w:t>
        </w:r>
      </w:hyperlink>
      <w:r>
        <w:t xml:space="preserve"> и </w:t>
      </w:r>
      <w:hyperlink w:anchor="P249" w:history="1">
        <w:r>
          <w:rPr>
            <w:color w:val="0000FF"/>
          </w:rPr>
          <w:t>2.2</w:t>
        </w:r>
      </w:hyperlink>
      <w:r>
        <w:t xml:space="preserve"> приложения, за минусом ставки на оплату технологического расхода (потерь) в электрических сетях, утвержденной в составе единых (котловых) тарифов на услуги по передаче электрической энергии по сетям Новосибирской области.</w:t>
      </w:r>
    </w:p>
    <w:p w:rsidR="001E08F1" w:rsidRDefault="001E08F1">
      <w:pPr>
        <w:pStyle w:val="ConsPlusNormal"/>
        <w:spacing w:before="220"/>
        <w:ind w:firstLine="540"/>
        <w:jc w:val="both"/>
      </w:pPr>
      <w:r>
        <w:t xml:space="preserve">Жилищные организации, сдающие часть жилищного фонда в аренду для целей, не связанных с использованием этих помещений для проживания граждан, покупают и продают электрическую энергию по тарифам группы "Прочие потребители", предусмотренным </w:t>
      </w:r>
      <w:hyperlink w:anchor="P139" w:history="1">
        <w:r>
          <w:rPr>
            <w:color w:val="0000FF"/>
          </w:rPr>
          <w:t>пунктом 2</w:t>
        </w:r>
      </w:hyperlink>
      <w:r>
        <w:t xml:space="preserve"> приложения, аналогичного класса напряжения и числа часов использования.</w:t>
      </w:r>
    </w:p>
    <w:p w:rsidR="001E08F1" w:rsidRDefault="001E08F1">
      <w:pPr>
        <w:pStyle w:val="ConsPlusNormal"/>
        <w:spacing w:before="220"/>
        <w:ind w:firstLine="540"/>
        <w:jc w:val="both"/>
      </w:pPr>
      <w:r>
        <w:t xml:space="preserve">Тарифы на электрическую энергию, дифференцированные по зонам суток, предусмотренные </w:t>
      </w:r>
      <w:hyperlink w:anchor="P47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39" w:history="1">
        <w:r>
          <w:rPr>
            <w:color w:val="0000FF"/>
          </w:rPr>
          <w:t>2</w:t>
        </w:r>
      </w:hyperlink>
      <w:r>
        <w:t xml:space="preserve"> приложения, могут применяться при наличии приборов учета электрической энергии, фиксирующих электропотребление отдельно по каждой зоне суток.</w:t>
      </w:r>
    </w:p>
    <w:p w:rsidR="001E08F1" w:rsidRDefault="001E08F1">
      <w:pPr>
        <w:pStyle w:val="ConsPlusNormal"/>
        <w:spacing w:before="220"/>
        <w:ind w:firstLine="540"/>
        <w:jc w:val="both"/>
      </w:pPr>
      <w:r>
        <w:t>Интервалы тарифных зон суток по энергозонам России устанавливаются Федеральной службой по тарифам.</w:t>
      </w: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ind w:firstLine="540"/>
        <w:jc w:val="both"/>
      </w:pPr>
    </w:p>
    <w:p w:rsidR="001E08F1" w:rsidRDefault="001E08F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D7F94" w:rsidRDefault="00CD7F94"/>
    <w:sectPr w:rsidR="00CD7F94" w:rsidSect="0023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F1"/>
    <w:rsid w:val="001E08F1"/>
    <w:rsid w:val="00C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0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0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B3AA9316BB482C5BE96C71E4BEA8F65905579C5638C95DB509C25D1895F77F1B5ED9D68139688FC03034CC31BD90D3800246E457A18BFH5D" TargetMode="External"/><Relationship Id="rId13" Type="http://schemas.openxmlformats.org/officeDocument/2006/relationships/hyperlink" Target="consultantplus://offline/ref=7E3B3AA9316BB482C5BE88CA0827B486659C0E71CE69DECE8656CB7A818F0A37B1B3B8CC2C469A88F049530A8814D80BB2H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3B3AA9316BB482C5BE96C71E4BEA8F6D975578C46DD19FD3099027D6860060E4FCB99069148988F549500897B1HFD" TargetMode="External"/><Relationship Id="rId12" Type="http://schemas.openxmlformats.org/officeDocument/2006/relationships/hyperlink" Target="consultantplus://offline/ref=7E3B3AA9316BB482C5BE88CA0827B486659C0E71CE68D8C18A56CB7A818F0A37B1B3B8CC2C469A88F049530A8814D80BB2HF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B3AA9316BB482C5BE96C71E4BEA8F6D97537ECB6FD19FD3099027D6860060F6FCE19C6813908CF15C0659D243D50B211F2772597819FDB3HDD" TargetMode="External"/><Relationship Id="rId11" Type="http://schemas.openxmlformats.org/officeDocument/2006/relationships/hyperlink" Target="consultantplus://offline/ref=7E3B3AA9316BB482C5BE88CA0827B486659C0E71CE6ED2C88956CB7A818F0A37B1B3B8DE2C1E9689F757530F9D42894E730C2777597B1BE236EFA9B9H2D" TargetMode="External"/><Relationship Id="rId5" Type="http://schemas.openxmlformats.org/officeDocument/2006/relationships/hyperlink" Target="consultantplus://offline/ref=7E3B3AA9316BB482C5BE96C71E4BEA8F6D97537DCB60D19FD3099027D6860060F6FCE1986347C6CDA25A530F8817DA14240127B7H9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3B3AA9316BB482C5BE96C71E4BEA8F6D975775CA6ED19FD3099027D6860060F6FCE19C68139788F75C0659D243D50B211F2772597819FDB3H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B3AA9316BB482C5BE96C71E4BEA8F6D975475CA68D19FD3099027D6860060E4FCB99069148988F549500897B1H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Наталья Сергеевна</dc:creator>
  <cp:lastModifiedBy>Шишова Наталья Сергеевна</cp:lastModifiedBy>
  <cp:revision>1</cp:revision>
  <dcterms:created xsi:type="dcterms:W3CDTF">2019-12-17T03:07:00Z</dcterms:created>
  <dcterms:modified xsi:type="dcterms:W3CDTF">2019-12-17T03:07:00Z</dcterms:modified>
</cp:coreProperties>
</file>